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C6AD91" w14:textId="77777777" w:rsidR="003B32EE" w:rsidRPr="00917E6C" w:rsidRDefault="00D660FB" w:rsidP="0016302B">
      <w:pPr>
        <w:spacing w:line="240" w:lineRule="auto"/>
        <w:contextualSpacing/>
        <w:jc w:val="center"/>
        <w:rPr>
          <w:b/>
          <w:sz w:val="28"/>
          <w:szCs w:val="28"/>
        </w:rPr>
      </w:pPr>
      <w:r w:rsidRPr="00917E6C">
        <w:rPr>
          <w:b/>
          <w:sz w:val="28"/>
          <w:szCs w:val="28"/>
        </w:rPr>
        <w:t>Преимущества сменных щелей для спектрометров</w:t>
      </w:r>
    </w:p>
    <w:p w14:paraId="30FD443B" w14:textId="77777777" w:rsidR="00D660FB" w:rsidRDefault="00D660FB" w:rsidP="0016302B">
      <w:pPr>
        <w:spacing w:line="240" w:lineRule="auto"/>
        <w:contextualSpacing/>
        <w:jc w:val="both"/>
      </w:pPr>
    </w:p>
    <w:p w14:paraId="7F2F59E1" w14:textId="0969E55B" w:rsidR="00D660FB" w:rsidRPr="00AA3D3B" w:rsidRDefault="00D660FB" w:rsidP="0016302B">
      <w:pPr>
        <w:spacing w:line="240" w:lineRule="auto"/>
        <w:contextualSpacing/>
        <w:jc w:val="both"/>
      </w:pPr>
      <w:r w:rsidRPr="00D660FB">
        <w:t xml:space="preserve">Модульная спектроскопия делает возможными тысячи </w:t>
      </w:r>
      <w:r>
        <w:t>областей применения</w:t>
      </w:r>
      <w:r w:rsidRPr="00D660FB">
        <w:t>, позволяя пользователям различными способами комбинировать компоненты оптических с</w:t>
      </w:r>
      <w:r w:rsidR="00034717">
        <w:t>хем</w:t>
      </w:r>
      <w:r w:rsidRPr="00D660FB">
        <w:t xml:space="preserve"> и аксессуары.</w:t>
      </w:r>
      <w:r w:rsidR="00E34651">
        <w:t xml:space="preserve"> </w:t>
      </w:r>
      <w:r w:rsidR="00E34651" w:rsidRPr="00E34651">
        <w:t xml:space="preserve">Сменные щели спектрометров серии </w:t>
      </w:r>
      <w:proofErr w:type="spellStart"/>
      <w:r w:rsidR="00E34651" w:rsidRPr="00E34651">
        <w:t>Ocean</w:t>
      </w:r>
      <w:proofErr w:type="spellEnd"/>
      <w:r w:rsidR="00E34651" w:rsidRPr="00E34651">
        <w:t xml:space="preserve"> </w:t>
      </w:r>
      <w:proofErr w:type="spellStart"/>
      <w:r w:rsidR="00E34651" w:rsidRPr="00E34651">
        <w:t>Insight</w:t>
      </w:r>
      <w:proofErr w:type="spellEnd"/>
      <w:r w:rsidR="00E34651" w:rsidRPr="00E34651">
        <w:t xml:space="preserve"> делают их более гибкими.</w:t>
      </w:r>
    </w:p>
    <w:p w14:paraId="569813C2" w14:textId="77777777" w:rsidR="0016302B" w:rsidRPr="00AA3D3B" w:rsidRDefault="0016302B" w:rsidP="0016302B">
      <w:pPr>
        <w:spacing w:line="240" w:lineRule="auto"/>
        <w:contextualSpacing/>
        <w:jc w:val="both"/>
      </w:pPr>
    </w:p>
    <w:p w14:paraId="233ADF9B" w14:textId="2842A0EF" w:rsidR="00075700" w:rsidRDefault="003B183A" w:rsidP="0016302B">
      <w:pPr>
        <w:spacing w:line="240" w:lineRule="auto"/>
        <w:contextualSpacing/>
        <w:jc w:val="both"/>
      </w:pPr>
      <w:r w:rsidRPr="003B183A">
        <w:t xml:space="preserve">Размер щели спектрометра </w:t>
      </w:r>
      <w:r>
        <w:t>–</w:t>
      </w:r>
      <w:r w:rsidRPr="003B183A">
        <w:t xml:space="preserve"> это один из факторов, определяющих оптическое разрешение вашей спектральной системы, наряду с дисперсией дифракционной решетки и количеством пикселей детектора.</w:t>
      </w:r>
      <w:r w:rsidR="00AC0BA1">
        <w:t xml:space="preserve"> </w:t>
      </w:r>
      <w:r w:rsidR="00AC0BA1" w:rsidRPr="00AC0BA1">
        <w:t>Выбор размера щели требует компромиссов: можно подобрать большую ширину щели, чтобы увеличить пропускную способность, но за счет оптического разрешения.</w:t>
      </w:r>
      <w:r w:rsidR="00E73928">
        <w:t xml:space="preserve"> </w:t>
      </w:r>
      <w:r w:rsidR="00E73928" w:rsidRPr="00E73928">
        <w:t>Либо можно выбрать меньшую щель для более высокого оптического разрешения, но уменьшить пропускную способность.</w:t>
      </w:r>
      <w:r w:rsidR="00DD3B60">
        <w:t xml:space="preserve"> </w:t>
      </w:r>
      <w:r w:rsidR="00DD3B60" w:rsidRPr="00DD3B60">
        <w:t xml:space="preserve">Оптимальный выбор размера щели требует взвешивания этих двух </w:t>
      </w:r>
      <w:r w:rsidR="00034717">
        <w:t>факторов</w:t>
      </w:r>
      <w:r w:rsidR="00DD3B60" w:rsidRPr="00DD3B60">
        <w:t xml:space="preserve"> и в значительной мере зависит от области применения.</w:t>
      </w:r>
    </w:p>
    <w:p w14:paraId="24A106E4" w14:textId="77777777" w:rsidR="004314F7" w:rsidRDefault="004314F7" w:rsidP="0016302B">
      <w:pPr>
        <w:spacing w:line="240" w:lineRule="auto"/>
        <w:contextualSpacing/>
        <w:jc w:val="both"/>
      </w:pPr>
    </w:p>
    <w:p w14:paraId="50921A8A" w14:textId="77777777" w:rsidR="004314F7" w:rsidRPr="00917E6C" w:rsidRDefault="000D7F0D" w:rsidP="0016302B">
      <w:pPr>
        <w:spacing w:line="240" w:lineRule="auto"/>
        <w:contextualSpacing/>
        <w:jc w:val="center"/>
        <w:rPr>
          <w:b/>
        </w:rPr>
      </w:pPr>
      <w:r w:rsidRPr="00917E6C">
        <w:rPr>
          <w:b/>
        </w:rPr>
        <w:t>Сменные щели для спектрометра</w:t>
      </w:r>
    </w:p>
    <w:p w14:paraId="10110570" w14:textId="77777777" w:rsidR="000D7F0D" w:rsidRDefault="000D7F0D" w:rsidP="0016302B">
      <w:pPr>
        <w:spacing w:line="240" w:lineRule="auto"/>
        <w:contextualSpacing/>
        <w:jc w:val="both"/>
      </w:pPr>
    </w:p>
    <w:p w14:paraId="780A6357" w14:textId="144F756D" w:rsidR="000D7F0D" w:rsidRPr="00AA3D3B" w:rsidRDefault="00990149" w:rsidP="0016302B">
      <w:pPr>
        <w:spacing w:line="240" w:lineRule="auto"/>
        <w:contextualSpacing/>
        <w:jc w:val="both"/>
      </w:pPr>
      <w:r w:rsidRPr="00990149">
        <w:t xml:space="preserve">Конструкция со сменной щелью большинства спектрометров </w:t>
      </w:r>
      <w:proofErr w:type="spellStart"/>
      <w:r w:rsidRPr="00990149">
        <w:t>Ocean</w:t>
      </w:r>
      <w:proofErr w:type="spellEnd"/>
      <w:r w:rsidRPr="00990149">
        <w:t xml:space="preserve"> </w:t>
      </w:r>
      <w:proofErr w:type="spellStart"/>
      <w:r w:rsidRPr="00990149">
        <w:t>Insight</w:t>
      </w:r>
      <w:proofErr w:type="spellEnd"/>
      <w:r w:rsidRPr="00990149">
        <w:t xml:space="preserve"> помогает избежать компромиссов при проектировании, обеспечивая пользователям большую гибкость </w:t>
      </w:r>
      <w:r w:rsidR="00CC75FE">
        <w:t xml:space="preserve">в </w:t>
      </w:r>
      <w:r w:rsidRPr="00990149">
        <w:t>эксперимент</w:t>
      </w:r>
      <w:r w:rsidR="00CC75FE">
        <w:t>ах</w:t>
      </w:r>
      <w:r w:rsidRPr="00990149">
        <w:t>.</w:t>
      </w:r>
      <w:r>
        <w:t xml:space="preserve"> </w:t>
      </w:r>
      <w:r w:rsidRPr="00990149">
        <w:t>Например, вы можете установить узкую щель для высокого разрешения при измерениях абсорбции с резким пиком, но затем переключиться на более широкую щель для достижения высокой пропускной способности при измерениях флуоресценции и в условиях слабой освещенности.</w:t>
      </w:r>
    </w:p>
    <w:p w14:paraId="4191EFA6" w14:textId="77777777" w:rsidR="0016302B" w:rsidRPr="00AA3D3B" w:rsidRDefault="0016302B" w:rsidP="0016302B">
      <w:pPr>
        <w:spacing w:line="240" w:lineRule="auto"/>
        <w:contextualSpacing/>
        <w:jc w:val="both"/>
      </w:pPr>
    </w:p>
    <w:p w14:paraId="16A394A4" w14:textId="2C6D98CA" w:rsidR="00BD2140" w:rsidRDefault="00BF7C5F" w:rsidP="0016302B">
      <w:pPr>
        <w:spacing w:line="240" w:lineRule="auto"/>
        <w:contextualSpacing/>
        <w:jc w:val="both"/>
      </w:pPr>
      <w:r w:rsidRPr="00BF7C5F">
        <w:t>Это значительное преимущество по сравнению с предыдущими поколениями модульных спектрометров, которые требовали от производителя замены узлов щелей.</w:t>
      </w:r>
      <w:r w:rsidR="00636C22">
        <w:t xml:space="preserve"> </w:t>
      </w:r>
      <w:r w:rsidR="00636C22" w:rsidRPr="00636C22">
        <w:t>Для направлений, в которых необходимо поддерживать точный баланс между пропускной способностью и оптическим разрешением, необходимость возвращать спектрометр для</w:t>
      </w:r>
      <w:r w:rsidR="00CC75FE">
        <w:t xml:space="preserve"> замены щелей на завод</w:t>
      </w:r>
      <w:r w:rsidR="00636C22" w:rsidRPr="00636C22">
        <w:t xml:space="preserve"> была в лучшем случае неудобной.</w:t>
      </w:r>
      <w:r w:rsidR="00637712">
        <w:t xml:space="preserve"> </w:t>
      </w:r>
      <w:r w:rsidR="00637712" w:rsidRPr="00637712">
        <w:t>Сменные щели устраняют эти затруднения.</w:t>
      </w:r>
    </w:p>
    <w:p w14:paraId="1C8A092F" w14:textId="77777777" w:rsidR="00637712" w:rsidRDefault="00637712" w:rsidP="0016302B">
      <w:pPr>
        <w:spacing w:line="240" w:lineRule="auto"/>
        <w:contextualSpacing/>
        <w:jc w:val="both"/>
      </w:pPr>
    </w:p>
    <w:p w14:paraId="768F0CFD" w14:textId="77777777" w:rsidR="00637712" w:rsidRPr="00917E6C" w:rsidRDefault="009A707F" w:rsidP="0016302B">
      <w:pPr>
        <w:spacing w:line="240" w:lineRule="auto"/>
        <w:contextualSpacing/>
        <w:jc w:val="center"/>
        <w:rPr>
          <w:b/>
        </w:rPr>
      </w:pPr>
      <w:r w:rsidRPr="00917E6C">
        <w:rPr>
          <w:b/>
        </w:rPr>
        <w:t>Оптическое разрешение против пропускной способности</w:t>
      </w:r>
    </w:p>
    <w:p w14:paraId="68F23999" w14:textId="77777777" w:rsidR="009A707F" w:rsidRDefault="009A707F" w:rsidP="0016302B">
      <w:pPr>
        <w:spacing w:line="240" w:lineRule="auto"/>
        <w:contextualSpacing/>
        <w:jc w:val="both"/>
      </w:pPr>
    </w:p>
    <w:p w14:paraId="2F988DCE" w14:textId="77777777" w:rsidR="009A707F" w:rsidRDefault="00990E17" w:rsidP="0016302B">
      <w:pPr>
        <w:spacing w:line="240" w:lineRule="auto"/>
        <w:contextualSpacing/>
        <w:jc w:val="both"/>
      </w:pPr>
      <w:r w:rsidRPr="00990E17">
        <w:t>Сменные щели спектрометра очень полезны в лабораториях, где пользователи регулярно проводят измерения абсорбции и флуоресценции.</w:t>
      </w:r>
      <w:r w:rsidR="00917E6C">
        <w:t xml:space="preserve"> </w:t>
      </w:r>
      <w:r w:rsidR="00EA17CC">
        <w:t>Н</w:t>
      </w:r>
      <w:r w:rsidR="00917E6C" w:rsidRPr="00917E6C">
        <w:t xml:space="preserve">апример, если вы измеряете </w:t>
      </w:r>
      <w:r w:rsidR="00350CAA">
        <w:t>абсорбцию</w:t>
      </w:r>
      <w:r w:rsidR="00917E6C" w:rsidRPr="00917E6C">
        <w:t xml:space="preserve"> оксида гольмия, который имеет узкие отчетливые пики, требующие хорошего разрешения для правильного отображения, вам, вероятно, потребуется щель 25 мкм или более узкая (График 1).</w:t>
      </w:r>
    </w:p>
    <w:p w14:paraId="110BB4FF" w14:textId="40104F0A" w:rsidR="00CC75FE" w:rsidRDefault="002C119C" w:rsidP="0016302B">
      <w:pPr>
        <w:spacing w:line="240" w:lineRule="auto"/>
        <w:contextualSpacing/>
        <w:jc w:val="both"/>
      </w:pPr>
      <w:r>
        <w:rPr>
          <w:noProof/>
          <w:lang w:eastAsia="ru-RU"/>
        </w:rPr>
        <w:drawing>
          <wp:inline distT="0" distB="0" distL="0" distR="0" wp14:anchorId="4368E3D9" wp14:editId="64778313">
            <wp:extent cx="4115904" cy="3038475"/>
            <wp:effectExtent l="0" t="0" r="0" b="0"/>
            <wp:docPr id="1" name="Рисунок 1" descr="C:\Users\Home\Desktop\Работа\Переводы\График 1 —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esktop\Работа\Переводы\График 1 — копия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5353" cy="3045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84EEE8" w14:textId="77777777" w:rsidR="00350CAA" w:rsidRDefault="00350CAA" w:rsidP="0016302B">
      <w:pPr>
        <w:spacing w:line="240" w:lineRule="auto"/>
        <w:contextualSpacing/>
        <w:jc w:val="both"/>
      </w:pPr>
    </w:p>
    <w:p w14:paraId="28CDF04E" w14:textId="77777777" w:rsidR="00350CAA" w:rsidRPr="00034717" w:rsidRDefault="00350CAA" w:rsidP="0016302B">
      <w:pPr>
        <w:spacing w:line="240" w:lineRule="auto"/>
        <w:contextualSpacing/>
        <w:jc w:val="both"/>
        <w:rPr>
          <w:i/>
        </w:rPr>
      </w:pPr>
      <w:r w:rsidRPr="00350CAA">
        <w:rPr>
          <w:i/>
        </w:rPr>
        <w:lastRenderedPageBreak/>
        <w:t xml:space="preserve">График 1. Измерение </w:t>
      </w:r>
      <w:r>
        <w:rPr>
          <w:i/>
        </w:rPr>
        <w:t>абсорбции</w:t>
      </w:r>
      <w:r w:rsidRPr="00350CAA">
        <w:rPr>
          <w:i/>
        </w:rPr>
        <w:t xml:space="preserve"> оксида гольмия на спектрометре </w:t>
      </w:r>
      <w:proofErr w:type="spellStart"/>
      <w:r w:rsidRPr="00350CAA">
        <w:rPr>
          <w:i/>
        </w:rPr>
        <w:t>Flame</w:t>
      </w:r>
      <w:proofErr w:type="spellEnd"/>
      <w:r w:rsidRPr="00350CAA">
        <w:rPr>
          <w:i/>
        </w:rPr>
        <w:t xml:space="preserve"> с использованием различной ширины щели. Обратите внимание на эффект расширения пиков поглощения при увеличении размера щели. Для демонстрации спектры нормированы по оси y.</w:t>
      </w:r>
    </w:p>
    <w:p w14:paraId="7F88B8BF" w14:textId="77777777" w:rsidR="0016302B" w:rsidRPr="00AA3D3B" w:rsidRDefault="0016302B" w:rsidP="0016302B">
      <w:pPr>
        <w:spacing w:line="240" w:lineRule="auto"/>
        <w:contextualSpacing/>
        <w:jc w:val="both"/>
      </w:pPr>
    </w:p>
    <w:p w14:paraId="3B24847A" w14:textId="77777777" w:rsidR="00CE173D" w:rsidRPr="00823C02" w:rsidRDefault="00CE173D" w:rsidP="0016302B">
      <w:pPr>
        <w:spacing w:line="240" w:lineRule="auto"/>
        <w:contextualSpacing/>
        <w:jc w:val="both"/>
      </w:pPr>
      <w:r w:rsidRPr="00CE173D">
        <w:t>Но когда эксперимент</w:t>
      </w:r>
      <w:r w:rsidR="00823C02" w:rsidRPr="00823C02">
        <w:t xml:space="preserve"> </w:t>
      </w:r>
      <w:r w:rsidR="00823C02">
        <w:t>проходит в условиях ограничения</w:t>
      </w:r>
      <w:r w:rsidRPr="00CE173D">
        <w:t xml:space="preserve"> сил</w:t>
      </w:r>
      <w:r w:rsidR="00823C02">
        <w:t>ы</w:t>
      </w:r>
      <w:r w:rsidRPr="00CE173D">
        <w:t xml:space="preserve"> сигнала или времени сбора данных, </w:t>
      </w:r>
      <w:r>
        <w:t>–</w:t>
      </w:r>
      <w:r w:rsidRPr="00CE173D">
        <w:t xml:space="preserve"> т. е. необходимо короткое время интегрирования, </w:t>
      </w:r>
      <w:r>
        <w:t>–</w:t>
      </w:r>
      <w:r w:rsidRPr="00CE173D">
        <w:t xml:space="preserve"> высокая пропускная способность становится наиболее важным </w:t>
      </w:r>
      <w:r w:rsidR="00823C02">
        <w:t>фактором</w:t>
      </w:r>
      <w:r w:rsidRPr="00CE173D">
        <w:t>, и щель 25 мкм, вероятно, не будет работать хорошо вне зависимости от обстоятельств.</w:t>
      </w:r>
    </w:p>
    <w:p w14:paraId="02FB175D" w14:textId="77777777" w:rsidR="0016302B" w:rsidRPr="00823C02" w:rsidRDefault="0016302B" w:rsidP="0016302B">
      <w:pPr>
        <w:spacing w:line="240" w:lineRule="auto"/>
        <w:contextualSpacing/>
        <w:jc w:val="both"/>
      </w:pPr>
    </w:p>
    <w:p w14:paraId="75BBF27F" w14:textId="77777777" w:rsidR="006D276C" w:rsidRPr="00823C02" w:rsidRDefault="006D276C" w:rsidP="0016302B">
      <w:pPr>
        <w:spacing w:line="240" w:lineRule="auto"/>
        <w:contextualSpacing/>
        <w:jc w:val="both"/>
      </w:pPr>
      <w:r w:rsidRPr="006D276C">
        <w:t>Это касается измерений флуоресценции, поскольку сигнал может быть очень низким, особенно при низких концентрациях флуоресцентной молекулы.</w:t>
      </w:r>
      <w:r w:rsidR="003D5AB4">
        <w:t xml:space="preserve"> </w:t>
      </w:r>
      <w:r w:rsidR="003D5AB4" w:rsidRPr="003D5AB4">
        <w:t>Например, флуоресцентные маркеры используются в низких концентрациях для аутентификации продукта.</w:t>
      </w:r>
      <w:r w:rsidR="00A8264C">
        <w:t xml:space="preserve"> </w:t>
      </w:r>
      <w:r w:rsidR="00823C02">
        <w:t>В такой ситуации</w:t>
      </w:r>
      <w:r w:rsidR="00A8264C" w:rsidRPr="00A8264C">
        <w:t xml:space="preserve"> высокая пропускная способность более широкой щели </w:t>
      </w:r>
      <w:r w:rsidR="00823C02">
        <w:t>принесет больше пользы</w:t>
      </w:r>
      <w:r w:rsidR="00A8264C" w:rsidRPr="00A8264C">
        <w:t xml:space="preserve">, чем </w:t>
      </w:r>
      <w:r w:rsidR="00823C02">
        <w:t xml:space="preserve">высокое </w:t>
      </w:r>
      <w:r w:rsidR="00A8264C" w:rsidRPr="00A8264C">
        <w:t>разрешение более узкой щели.</w:t>
      </w:r>
    </w:p>
    <w:p w14:paraId="4652D651" w14:textId="77777777" w:rsidR="0016302B" w:rsidRPr="00823C02" w:rsidRDefault="0016302B" w:rsidP="0016302B">
      <w:pPr>
        <w:spacing w:line="240" w:lineRule="auto"/>
        <w:contextualSpacing/>
        <w:jc w:val="both"/>
      </w:pPr>
    </w:p>
    <w:p w14:paraId="72F4CCA5" w14:textId="77777777" w:rsidR="00723E99" w:rsidRPr="00AA3D3B" w:rsidRDefault="00723E99" w:rsidP="0016302B">
      <w:pPr>
        <w:spacing w:line="240" w:lineRule="auto"/>
        <w:contextualSpacing/>
        <w:jc w:val="both"/>
      </w:pPr>
      <w:r w:rsidRPr="00723E99">
        <w:t>График 2 демонстрирует изменение пропускной способности спектрометра при уменьшении размера щели.</w:t>
      </w:r>
      <w:r>
        <w:t xml:space="preserve">  </w:t>
      </w:r>
      <w:r w:rsidRPr="00723E99">
        <w:t>При меньшем размере щели время интеграции, необходимое для измерения флуоресцентной молекулы, быстро возрастает, поскольку количество света, который может проходить через щель, значительно уменьшается.</w:t>
      </w:r>
      <w:r w:rsidR="009E2EDE">
        <w:t xml:space="preserve"> </w:t>
      </w:r>
      <w:r w:rsidR="009E2EDE" w:rsidRPr="009E2EDE">
        <w:t xml:space="preserve">Это может предоставить </w:t>
      </w:r>
      <w:r w:rsidR="009E2EDE">
        <w:t>существенные</w:t>
      </w:r>
      <w:r w:rsidR="009E2EDE" w:rsidRPr="009E2EDE">
        <w:t xml:space="preserve"> преимущества в ситуации, когда скорость измерения имеет большое значение.</w:t>
      </w:r>
    </w:p>
    <w:p w14:paraId="345BD35F" w14:textId="77777777" w:rsidR="00826ECE" w:rsidRDefault="00826ECE" w:rsidP="0016302B">
      <w:pPr>
        <w:spacing w:line="240" w:lineRule="auto"/>
        <w:contextualSpacing/>
        <w:jc w:val="both"/>
      </w:pPr>
    </w:p>
    <w:p w14:paraId="0E689F26" w14:textId="6E1DD2EF" w:rsidR="004604B4" w:rsidRDefault="003200E5" w:rsidP="0016302B">
      <w:pPr>
        <w:spacing w:line="240" w:lineRule="auto"/>
        <w:contextualSpacing/>
        <w:jc w:val="both"/>
      </w:pPr>
      <w:r>
        <w:rPr>
          <w:noProof/>
          <w:lang w:eastAsia="ru-RU"/>
        </w:rPr>
        <w:drawing>
          <wp:inline distT="0" distB="0" distL="0" distR="0" wp14:anchorId="712CB7CD" wp14:editId="1959CB7D">
            <wp:extent cx="5940425" cy="4375908"/>
            <wp:effectExtent l="0" t="0" r="3175" b="5715"/>
            <wp:docPr id="2" name="Рисунок 2" descr="C:\Users\Home\Desktop\Работа\Переводы\График 2 —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me\Desktop\Работа\Переводы\График 2 — копия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75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5EAE31F2" w14:textId="77777777" w:rsidR="004604B4" w:rsidRPr="00AA3D3B" w:rsidRDefault="004604B4" w:rsidP="0016302B">
      <w:pPr>
        <w:spacing w:line="240" w:lineRule="auto"/>
        <w:contextualSpacing/>
        <w:jc w:val="both"/>
      </w:pPr>
    </w:p>
    <w:p w14:paraId="41C8C00C" w14:textId="77777777" w:rsidR="00350CAA" w:rsidRDefault="00DD4C26" w:rsidP="0016302B">
      <w:pPr>
        <w:spacing w:line="240" w:lineRule="auto"/>
        <w:contextualSpacing/>
        <w:jc w:val="both"/>
        <w:rPr>
          <w:i/>
        </w:rPr>
      </w:pPr>
      <w:r w:rsidRPr="00DD4C26">
        <w:rPr>
          <w:i/>
        </w:rPr>
        <w:t xml:space="preserve">График 2. Флуоресценция </w:t>
      </w:r>
      <w:proofErr w:type="spellStart"/>
      <w:r w:rsidRPr="00DD4C26">
        <w:rPr>
          <w:i/>
        </w:rPr>
        <w:t>флуоресцеина</w:t>
      </w:r>
      <w:proofErr w:type="spellEnd"/>
      <w:r w:rsidRPr="00DD4C26">
        <w:rPr>
          <w:i/>
        </w:rPr>
        <w:t xml:space="preserve"> в воде, измеренная на спектрометре </w:t>
      </w:r>
      <w:proofErr w:type="spellStart"/>
      <w:r w:rsidRPr="00DD4C26">
        <w:rPr>
          <w:i/>
        </w:rPr>
        <w:t>Flame</w:t>
      </w:r>
      <w:proofErr w:type="spellEnd"/>
      <w:r w:rsidRPr="00DD4C26">
        <w:rPr>
          <w:i/>
        </w:rPr>
        <w:t>. Логарифмический график демонстрирует время интегрирования, необходимое для достижения оптимального уровня сигнала, в качестве функции от размера щели. Чем меньше размер щели, тем больше времени требуется для интегрирования.</w:t>
      </w:r>
    </w:p>
    <w:p w14:paraId="4D7C72B6" w14:textId="77777777" w:rsidR="00DD4C26" w:rsidRDefault="00DD4C26" w:rsidP="0016302B">
      <w:pPr>
        <w:spacing w:line="240" w:lineRule="auto"/>
        <w:contextualSpacing/>
        <w:jc w:val="both"/>
        <w:rPr>
          <w:i/>
        </w:rPr>
      </w:pPr>
    </w:p>
    <w:p w14:paraId="3A498E9A" w14:textId="044F0C44" w:rsidR="00DD4C26" w:rsidRPr="00DD4C26" w:rsidRDefault="00DD4C26" w:rsidP="00DD4C26">
      <w:pPr>
        <w:spacing w:line="240" w:lineRule="auto"/>
        <w:contextualSpacing/>
        <w:jc w:val="both"/>
      </w:pPr>
      <w:r>
        <w:lastRenderedPageBreak/>
        <w:t>Благодаря конструкции</w:t>
      </w:r>
      <w:r w:rsidR="0035638A">
        <w:t xml:space="preserve"> спектрометров </w:t>
      </w:r>
      <w:proofErr w:type="spellStart"/>
      <w:r w:rsidR="0035638A">
        <w:t>Ocean</w:t>
      </w:r>
      <w:proofErr w:type="spellEnd"/>
      <w:r w:rsidR="0035638A">
        <w:t xml:space="preserve"> </w:t>
      </w:r>
      <w:proofErr w:type="spellStart"/>
      <w:r w:rsidR="0035638A">
        <w:t>Insight</w:t>
      </w:r>
      <w:proofErr w:type="spellEnd"/>
      <w:r>
        <w:t xml:space="preserve"> со сменной щелью пользователи могут регулировать оптическое разрешение и пропускную способность спектрометра, просто переключая сменные щели.</w:t>
      </w:r>
      <w:r w:rsidR="005D1B24">
        <w:t xml:space="preserve"> </w:t>
      </w:r>
      <w:r w:rsidR="005D1B24" w:rsidRPr="005D1B24">
        <w:t xml:space="preserve">Сменные щели дают пользователям больше свободы при </w:t>
      </w:r>
      <w:r w:rsidR="00C22C71">
        <w:t xml:space="preserve">выборе конфигурации </w:t>
      </w:r>
      <w:r w:rsidR="005D1B24" w:rsidRPr="005D1B24">
        <w:t>спектрометра, без необходимости доработки и регулировки спектрометра на предприятии-изготовителе.</w:t>
      </w:r>
    </w:p>
    <w:sectPr w:rsidR="00DD4C26" w:rsidRPr="00DD4C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733531C7" w15:done="0"/>
  <w15:commentEx w15:paraId="67F068B6" w15:done="0"/>
  <w15:commentEx w15:paraId="761BF1A5" w15:done="0"/>
  <w15:commentEx w15:paraId="7F792EA1" w15:done="0"/>
  <w15:commentEx w15:paraId="29E32504" w15:done="0"/>
  <w15:commentEx w15:paraId="7506127A" w15:done="0"/>
  <w15:commentEx w15:paraId="3D1444E9" w15:done="0"/>
  <w15:commentEx w15:paraId="340CBE4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343E7F" w16cex:dateUtc="2020-10-16T08:45:00Z"/>
  <w16cex:commentExtensible w16cex:durableId="2334443D" w16cex:dateUtc="2020-10-16T09:09:00Z"/>
  <w16cex:commentExtensible w16cex:durableId="2334445B" w16cex:dateUtc="2020-10-16T09:10:00Z"/>
  <w16cex:commentExtensible w16cex:durableId="233443BA" w16cex:dateUtc="2020-10-16T09:07:00Z"/>
  <w16cex:commentExtensible w16cex:durableId="23343E5C" w16cex:dateUtc="2020-10-16T08:44:00Z"/>
  <w16cex:commentExtensible w16cex:durableId="23344051" w16cex:dateUtc="2020-10-16T08:52:00Z"/>
  <w16cex:commentExtensible w16cex:durableId="2334401F" w16cex:dateUtc="2020-10-16T08:51:00Z"/>
  <w16cex:commentExtensible w16cex:durableId="233444CB" w16cex:dateUtc="2020-10-16T09:1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33531C7" w16cid:durableId="23343E7F"/>
  <w16cid:commentId w16cid:paraId="67F068B6" w16cid:durableId="2334443D"/>
  <w16cid:commentId w16cid:paraId="761BF1A5" w16cid:durableId="2334445B"/>
  <w16cid:commentId w16cid:paraId="7F792EA1" w16cid:durableId="233443BA"/>
  <w16cid:commentId w16cid:paraId="29E32504" w16cid:durableId="23343E5C"/>
  <w16cid:commentId w16cid:paraId="7506127A" w16cid:durableId="23344051"/>
  <w16cid:commentId w16cid:paraId="3D1444E9" w16cid:durableId="2334401F"/>
  <w16cid:commentId w16cid:paraId="340CBE47" w16cid:durableId="233444CB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Aleksey Maslyukov">
    <w15:presenceInfo w15:providerId="None" w15:userId="Aleksey Maslyukov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3E8"/>
    <w:rsid w:val="00034717"/>
    <w:rsid w:val="00075700"/>
    <w:rsid w:val="000D7F0D"/>
    <w:rsid w:val="00100672"/>
    <w:rsid w:val="0016302B"/>
    <w:rsid w:val="001938A6"/>
    <w:rsid w:val="002C119C"/>
    <w:rsid w:val="003200E5"/>
    <w:rsid w:val="00350CAA"/>
    <w:rsid w:val="0035638A"/>
    <w:rsid w:val="003B183A"/>
    <w:rsid w:val="003B32EE"/>
    <w:rsid w:val="003D5AB4"/>
    <w:rsid w:val="004314F7"/>
    <w:rsid w:val="004604B4"/>
    <w:rsid w:val="005D1B24"/>
    <w:rsid w:val="00636C22"/>
    <w:rsid w:val="00637712"/>
    <w:rsid w:val="006D276C"/>
    <w:rsid w:val="00723E99"/>
    <w:rsid w:val="007339BF"/>
    <w:rsid w:val="00806FEF"/>
    <w:rsid w:val="00823C02"/>
    <w:rsid w:val="00824FDB"/>
    <w:rsid w:val="00826ECE"/>
    <w:rsid w:val="008928EB"/>
    <w:rsid w:val="008957D4"/>
    <w:rsid w:val="00917E6C"/>
    <w:rsid w:val="00990149"/>
    <w:rsid w:val="00990E17"/>
    <w:rsid w:val="009A707F"/>
    <w:rsid w:val="009E2EDE"/>
    <w:rsid w:val="009F6AE0"/>
    <w:rsid w:val="00A13146"/>
    <w:rsid w:val="00A8264C"/>
    <w:rsid w:val="00AA3D3B"/>
    <w:rsid w:val="00AC0BA1"/>
    <w:rsid w:val="00B173E8"/>
    <w:rsid w:val="00BD2140"/>
    <w:rsid w:val="00BF7C5F"/>
    <w:rsid w:val="00C22C71"/>
    <w:rsid w:val="00CC75FE"/>
    <w:rsid w:val="00CE173D"/>
    <w:rsid w:val="00D64CD3"/>
    <w:rsid w:val="00D660FB"/>
    <w:rsid w:val="00DB101A"/>
    <w:rsid w:val="00DD3B60"/>
    <w:rsid w:val="00DD4C26"/>
    <w:rsid w:val="00E34651"/>
    <w:rsid w:val="00E73928"/>
    <w:rsid w:val="00EA1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464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17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173D"/>
    <w:rPr>
      <w:rFonts w:ascii="Tahoma" w:hAnsi="Tahoma" w:cs="Tahoma"/>
      <w:sz w:val="16"/>
      <w:szCs w:val="16"/>
    </w:rPr>
  </w:style>
  <w:style w:type="character" w:styleId="a5">
    <w:name w:val="annotation reference"/>
    <w:basedOn w:val="a0"/>
    <w:uiPriority w:val="99"/>
    <w:semiHidden/>
    <w:unhideWhenUsed/>
    <w:rsid w:val="00AA3D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AA3D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AA3D3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AA3D3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AA3D3B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17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173D"/>
    <w:rPr>
      <w:rFonts w:ascii="Tahoma" w:hAnsi="Tahoma" w:cs="Tahoma"/>
      <w:sz w:val="16"/>
      <w:szCs w:val="16"/>
    </w:rPr>
  </w:style>
  <w:style w:type="character" w:styleId="a5">
    <w:name w:val="annotation reference"/>
    <w:basedOn w:val="a0"/>
    <w:uiPriority w:val="99"/>
    <w:semiHidden/>
    <w:unhideWhenUsed/>
    <w:rsid w:val="00AA3D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AA3D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AA3D3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AA3D3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AA3D3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microsoft.com/office/2011/relationships/people" Target="peop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microsoft.com/office/2011/relationships/commentsExtended" Target="commentsExtended.xml"/><Relationship Id="rId5" Type="http://schemas.openxmlformats.org/officeDocument/2006/relationships/image" Target="media/image1.jpeg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616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2020-10-16T08:54:00Z</dcterms:created>
  <dcterms:modified xsi:type="dcterms:W3CDTF">2020-10-23T02:04:00Z</dcterms:modified>
</cp:coreProperties>
</file>